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73BCDF4B" w:rsidR="00E203C2" w:rsidRDefault="00E203C2" w:rsidP="00E203C2">
      <w:r>
        <w:rPr>
          <w:noProof/>
          <w:lang w:eastAsia="en-GB" w:bidi="ar-SA"/>
        </w:rPr>
        <w:drawing>
          <wp:inline distT="0" distB="0" distL="0" distR="0" wp14:anchorId="53705D84" wp14:editId="2FCF251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Pr="00DE71BA" w:rsidRDefault="00E203C2" w:rsidP="00E203C2"/>
    <w:p w14:paraId="15B16D4B" w14:textId="23A2A621" w:rsidR="00CA641D" w:rsidRPr="00DE71BA" w:rsidRDefault="00407A8A" w:rsidP="00CA641D">
      <w:pPr>
        <w:rPr>
          <w:b/>
          <w:sz w:val="28"/>
          <w:szCs w:val="28"/>
        </w:rPr>
      </w:pPr>
      <w:r>
        <w:rPr>
          <w:b/>
          <w:sz w:val="28"/>
          <w:szCs w:val="28"/>
        </w:rPr>
        <w:t>18 June 2021</w:t>
      </w:r>
      <w:bookmarkStart w:id="0" w:name="_GoBack"/>
      <w:bookmarkEnd w:id="0"/>
    </w:p>
    <w:p w14:paraId="5B92753D" w14:textId="0A036CBD" w:rsidR="0057615C" w:rsidRPr="0057615C" w:rsidRDefault="0057615C" w:rsidP="00690206">
      <w:pPr>
        <w:pStyle w:val="FSTitle"/>
        <w:rPr>
          <w:b/>
          <w:sz w:val="22"/>
        </w:rPr>
      </w:pPr>
    </w:p>
    <w:p w14:paraId="1CA8799B" w14:textId="07A803C8" w:rsidR="00092CDA" w:rsidRPr="00DD3DAC" w:rsidRDefault="00092CDA" w:rsidP="00690206">
      <w:pPr>
        <w:pStyle w:val="FSTitle"/>
        <w:rPr>
          <w:b/>
        </w:rPr>
      </w:pPr>
      <w:r w:rsidRPr="00DD3DAC">
        <w:rPr>
          <w:b/>
        </w:rPr>
        <w:t>S</w:t>
      </w:r>
      <w:r w:rsidR="00B12F1E" w:rsidRPr="00DD3DAC">
        <w:rPr>
          <w:b/>
        </w:rPr>
        <w:t>upporting document</w:t>
      </w:r>
      <w:r w:rsidRPr="00DD3DAC">
        <w:rPr>
          <w:b/>
        </w:rPr>
        <w:t xml:space="preserve"> </w:t>
      </w:r>
      <w:r w:rsidR="00DD3DAC" w:rsidRPr="00DD3DAC">
        <w:rPr>
          <w:b/>
        </w:rPr>
        <w:t>2</w:t>
      </w:r>
    </w:p>
    <w:p w14:paraId="1DEEA18D" w14:textId="77777777" w:rsidR="00DD3DAC" w:rsidRPr="00DD3DAC" w:rsidRDefault="00DD3DAC" w:rsidP="00690206">
      <w:pPr>
        <w:pStyle w:val="FSTitle"/>
      </w:pPr>
    </w:p>
    <w:p w14:paraId="79157BBE" w14:textId="01BA9B97" w:rsidR="00D056F1" w:rsidRPr="00DD3DAC" w:rsidRDefault="00DD3DAC" w:rsidP="00690206">
      <w:pPr>
        <w:pStyle w:val="FSTitle"/>
      </w:pPr>
      <w:r w:rsidRPr="00DD3DAC">
        <w:t xml:space="preserve">Microbiology </w:t>
      </w:r>
      <w:r w:rsidR="006B67F7">
        <w:t>Risk A</w:t>
      </w:r>
      <w:r w:rsidR="00320839" w:rsidRPr="00DD3DAC">
        <w:t>ssessment</w:t>
      </w:r>
      <w:r w:rsidR="006B5EBE" w:rsidRPr="00DD3DAC">
        <w:t xml:space="preserve"> –</w:t>
      </w:r>
      <w:r w:rsidRPr="00DD3DAC">
        <w:t xml:space="preserve"> M1018</w:t>
      </w:r>
    </w:p>
    <w:p w14:paraId="48392800" w14:textId="77777777" w:rsidR="00E203C2" w:rsidRPr="00DD3DAC" w:rsidRDefault="00E203C2" w:rsidP="00690206"/>
    <w:p w14:paraId="53C06B21" w14:textId="37F8CE3B" w:rsidR="00D056F1" w:rsidRPr="00DD3DAC" w:rsidRDefault="00DD3DAC" w:rsidP="00690206">
      <w:pPr>
        <w:pStyle w:val="FSTitle"/>
      </w:pPr>
      <w:r w:rsidRPr="00DD3DAC">
        <w:t xml:space="preserve">Maximum Residue Limits (2020) </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77777777" w:rsidR="00092CDA" w:rsidRPr="00092CDA" w:rsidRDefault="00092CDA" w:rsidP="00352CF2">
      <w:pPr>
        <w:pStyle w:val="Heading1"/>
        <w:spacing w:before="0"/>
      </w:pPr>
      <w:bookmarkStart w:id="1" w:name="_Toc286391001"/>
      <w:bookmarkStart w:id="2" w:name="_Toc300933414"/>
      <w:bookmarkStart w:id="3" w:name="_Toc59532381"/>
      <w:r w:rsidRPr="00092CDA">
        <w:t xml:space="preserve">Executive </w:t>
      </w:r>
      <w:r w:rsidR="00B12F1E">
        <w:t>s</w:t>
      </w:r>
      <w:r w:rsidRPr="00092CDA">
        <w:t>ummary</w:t>
      </w:r>
      <w:bookmarkEnd w:id="1"/>
      <w:bookmarkEnd w:id="2"/>
      <w:bookmarkEnd w:id="3"/>
    </w:p>
    <w:p w14:paraId="3815E0B7" w14:textId="664BC28B" w:rsidR="00DD3DAC" w:rsidRDefault="00DD3DAC" w:rsidP="00DD3DAC">
      <w:pPr>
        <w:spacing w:after="240"/>
        <w:rPr>
          <w:szCs w:val="22"/>
        </w:rPr>
      </w:pPr>
      <w:r>
        <w:rPr>
          <w:szCs w:val="22"/>
        </w:rPr>
        <w:t xml:space="preserve">This Supporting Document provides information relating to </w:t>
      </w:r>
      <w:r>
        <w:t>anti</w:t>
      </w:r>
      <w:r w:rsidRPr="009F784F">
        <w:t>microbial resistance</w:t>
      </w:r>
      <w:r>
        <w:t xml:space="preserve"> (AMR)</w:t>
      </w:r>
      <w:r w:rsidRPr="009F784F">
        <w:t xml:space="preserve"> implications</w:t>
      </w:r>
      <w:r>
        <w:rPr>
          <w:szCs w:val="22"/>
        </w:rPr>
        <w:t xml:space="preserve"> undertaken for </w:t>
      </w:r>
      <w:r w:rsidR="007120E6">
        <w:rPr>
          <w:szCs w:val="22"/>
        </w:rPr>
        <w:t xml:space="preserve">relevant </w:t>
      </w:r>
      <w:r>
        <w:rPr>
          <w:szCs w:val="22"/>
        </w:rPr>
        <w:t xml:space="preserve">agricultural </w:t>
      </w:r>
      <w:r w:rsidR="007120E6">
        <w:rPr>
          <w:szCs w:val="22"/>
        </w:rPr>
        <w:t xml:space="preserve">pesticides </w:t>
      </w:r>
      <w:r>
        <w:rPr>
          <w:szCs w:val="22"/>
        </w:rPr>
        <w:t>and veterinary (agvet) chemicals and food commodities requested though the Maximum Residue Limit</w:t>
      </w:r>
      <w:r w:rsidR="00B76683">
        <w:rPr>
          <w:szCs w:val="22"/>
        </w:rPr>
        <w:t>s</w:t>
      </w:r>
      <w:r>
        <w:rPr>
          <w:szCs w:val="22"/>
        </w:rPr>
        <w:t xml:space="preserve"> (MRL) </w:t>
      </w:r>
      <w:r w:rsidR="00B76683">
        <w:rPr>
          <w:szCs w:val="22"/>
        </w:rPr>
        <w:t xml:space="preserve">(2020) </w:t>
      </w:r>
      <w:r>
        <w:rPr>
          <w:szCs w:val="22"/>
        </w:rPr>
        <w:t>Harmonisation Proposal, M1018.</w:t>
      </w:r>
    </w:p>
    <w:p w14:paraId="5ACD3C55" w14:textId="0F037D67" w:rsidR="00DD3DAC" w:rsidRDefault="00DD3DAC" w:rsidP="00DD3DAC">
      <w:pPr>
        <w:spacing w:after="240"/>
        <w:rPr>
          <w:lang w:eastAsia="en-GB"/>
        </w:rPr>
      </w:pPr>
      <w:r>
        <w:rPr>
          <w:lang w:eastAsia="en-GB"/>
        </w:rPr>
        <w:t>As stated in the Guide to submitting requests for maximum residue limit (MRL) harmonisation proposals, FSANZ has specific regard to requests for veterinary chemicals</w:t>
      </w:r>
      <w:r w:rsidR="00B73331">
        <w:rPr>
          <w:lang w:eastAsia="en-GB"/>
        </w:rPr>
        <w:t>,</w:t>
      </w:r>
      <w:r>
        <w:rPr>
          <w:lang w:eastAsia="en-GB"/>
        </w:rPr>
        <w:t xml:space="preserve"> including </w:t>
      </w:r>
      <w:r w:rsidR="007C7AC0">
        <w:rPr>
          <w:lang w:eastAsia="en-GB"/>
        </w:rPr>
        <w:t>antimi</w:t>
      </w:r>
      <w:r w:rsidR="00197104">
        <w:rPr>
          <w:lang w:eastAsia="en-GB"/>
        </w:rPr>
        <w:t>c</w:t>
      </w:r>
      <w:r w:rsidR="007C7AC0">
        <w:rPr>
          <w:lang w:eastAsia="en-GB"/>
        </w:rPr>
        <w:t>robials</w:t>
      </w:r>
      <w:r>
        <w:rPr>
          <w:lang w:eastAsia="en-GB"/>
        </w:rPr>
        <w:t>, which are considered on a case by case basis in consultation with the APVMA.</w:t>
      </w:r>
      <w:r w:rsidR="00C9237E">
        <w:rPr>
          <w:lang w:eastAsia="en-GB"/>
        </w:rPr>
        <w:t xml:space="preserve"> </w:t>
      </w:r>
    </w:p>
    <w:p w14:paraId="13EE8DEB" w14:textId="20510D8B" w:rsidR="00936B9E" w:rsidRDefault="00713408" w:rsidP="00DD3DAC">
      <w:pPr>
        <w:spacing w:after="240"/>
      </w:pPr>
      <w:r w:rsidRPr="00713408">
        <w:t>FSANZ concludes that residues of flumequine and the eight triazole fungicides arising from the variations requested do not represent an unacceptable risk to public health and safety from antimicrobial resistance / cross-resistance to important antimicrobials used in human medicine. However, this assessment does not take into account the broader ‘One Health’ issues associated with antimicrobial resistance. This is particularly of relevance to flumequine, a member of the class of quinolone antibiotics. Quinolones are considered to be of high importance for use in human health in Australia, and of highest priority in the WHO list of critically important antimicrobials for human medicine.</w:t>
      </w:r>
    </w:p>
    <w:p w14:paraId="6FDB598B" w14:textId="77777777" w:rsidR="00092CDA" w:rsidRDefault="00092CDA" w:rsidP="00690206">
      <w:pPr>
        <w:sectPr w:rsidR="00092CDA" w:rsidSect="0054272D">
          <w:footerReference w:type="even" r:id="rId13"/>
          <w:footerReference w:type="default" r:id="rId14"/>
          <w:headerReference w:type="first" r:id="rId15"/>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261BBDC8" w14:textId="70C1554E" w:rsidR="006B67F7"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9532381" w:history="1">
        <w:r w:rsidR="006B67F7" w:rsidRPr="00CA68AA">
          <w:rPr>
            <w:rStyle w:val="Hyperlink"/>
            <w:noProof/>
          </w:rPr>
          <w:t>Executive summary</w:t>
        </w:r>
        <w:r w:rsidR="006B67F7">
          <w:rPr>
            <w:noProof/>
            <w:webHidden/>
          </w:rPr>
          <w:tab/>
        </w:r>
        <w:r w:rsidR="006B67F7">
          <w:rPr>
            <w:noProof/>
            <w:webHidden/>
          </w:rPr>
          <w:fldChar w:fldCharType="begin"/>
        </w:r>
        <w:r w:rsidR="006B67F7">
          <w:rPr>
            <w:noProof/>
            <w:webHidden/>
          </w:rPr>
          <w:instrText xml:space="preserve"> PAGEREF _Toc59532381 \h </w:instrText>
        </w:r>
        <w:r w:rsidR="006B67F7">
          <w:rPr>
            <w:noProof/>
            <w:webHidden/>
          </w:rPr>
        </w:r>
        <w:r w:rsidR="006B67F7">
          <w:rPr>
            <w:noProof/>
            <w:webHidden/>
          </w:rPr>
          <w:fldChar w:fldCharType="separate"/>
        </w:r>
        <w:r w:rsidR="006B67F7">
          <w:rPr>
            <w:noProof/>
            <w:webHidden/>
          </w:rPr>
          <w:t>i</w:t>
        </w:r>
        <w:r w:rsidR="006B67F7">
          <w:rPr>
            <w:noProof/>
            <w:webHidden/>
          </w:rPr>
          <w:fldChar w:fldCharType="end"/>
        </w:r>
      </w:hyperlink>
    </w:p>
    <w:p w14:paraId="114C68C4" w14:textId="3DB4829B" w:rsidR="006B67F7" w:rsidRDefault="00407A8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9532382" w:history="1">
        <w:r w:rsidR="006B67F7" w:rsidRPr="00CA68AA">
          <w:rPr>
            <w:rStyle w:val="Hyperlink"/>
            <w:noProof/>
          </w:rPr>
          <w:t>1.</w:t>
        </w:r>
        <w:r w:rsidR="006B67F7">
          <w:rPr>
            <w:rFonts w:eastAsiaTheme="minorEastAsia" w:cstheme="minorBidi"/>
            <w:b w:val="0"/>
            <w:bCs w:val="0"/>
            <w:caps w:val="0"/>
            <w:noProof/>
            <w:sz w:val="22"/>
            <w:szCs w:val="22"/>
            <w:lang w:eastAsia="en-GB" w:bidi="ar-SA"/>
          </w:rPr>
          <w:tab/>
        </w:r>
        <w:r w:rsidR="006B67F7" w:rsidRPr="00CA68AA">
          <w:rPr>
            <w:rStyle w:val="Hyperlink"/>
            <w:noProof/>
          </w:rPr>
          <w:t xml:space="preserve"> Risk assessment</w:t>
        </w:r>
        <w:r w:rsidR="006B67F7">
          <w:rPr>
            <w:noProof/>
            <w:webHidden/>
          </w:rPr>
          <w:tab/>
        </w:r>
        <w:r w:rsidR="006B67F7">
          <w:rPr>
            <w:noProof/>
            <w:webHidden/>
          </w:rPr>
          <w:fldChar w:fldCharType="begin"/>
        </w:r>
        <w:r w:rsidR="006B67F7">
          <w:rPr>
            <w:noProof/>
            <w:webHidden/>
          </w:rPr>
          <w:instrText xml:space="preserve"> PAGEREF _Toc59532382 \h </w:instrText>
        </w:r>
        <w:r w:rsidR="006B67F7">
          <w:rPr>
            <w:noProof/>
            <w:webHidden/>
          </w:rPr>
        </w:r>
        <w:r w:rsidR="006B67F7">
          <w:rPr>
            <w:noProof/>
            <w:webHidden/>
          </w:rPr>
          <w:fldChar w:fldCharType="separate"/>
        </w:r>
        <w:r w:rsidR="006B67F7">
          <w:rPr>
            <w:noProof/>
            <w:webHidden/>
          </w:rPr>
          <w:t>2</w:t>
        </w:r>
        <w:r w:rsidR="006B67F7">
          <w:rPr>
            <w:noProof/>
            <w:webHidden/>
          </w:rPr>
          <w:fldChar w:fldCharType="end"/>
        </w:r>
      </w:hyperlink>
    </w:p>
    <w:p w14:paraId="26B82DC2" w14:textId="0BBE7F06" w:rsidR="00562917" w:rsidRDefault="00326D85" w:rsidP="00051ED9">
      <w:r>
        <w:fldChar w:fldCharType="end"/>
      </w:r>
    </w:p>
    <w:p w14:paraId="02C0204E" w14:textId="77777777" w:rsidR="00E066BA" w:rsidRDefault="00E066BA" w:rsidP="00051ED9"/>
    <w:p w14:paraId="1FA405FD" w14:textId="77777777" w:rsidR="00051ED9" w:rsidRDefault="00562917" w:rsidP="00772BDC">
      <w:r w:rsidRPr="00E203C2">
        <w:br w:type="page"/>
      </w:r>
    </w:p>
    <w:p w14:paraId="1487710B" w14:textId="0CE36995" w:rsidR="00DD3DAC" w:rsidRDefault="00DD3DAC" w:rsidP="00C14B9A">
      <w:pPr>
        <w:pStyle w:val="FSCh1Chap"/>
        <w:numPr>
          <w:ilvl w:val="0"/>
          <w:numId w:val="4"/>
        </w:numPr>
        <w:ind w:left="1134" w:hanging="708"/>
      </w:pPr>
      <w:bookmarkStart w:id="4" w:name="_Toc59532382"/>
      <w:r w:rsidRPr="00DD3DAC">
        <w:lastRenderedPageBreak/>
        <w:t xml:space="preserve"> </w:t>
      </w:r>
      <w:r>
        <w:t>Risk assessment</w:t>
      </w:r>
      <w:bookmarkEnd w:id="4"/>
    </w:p>
    <w:p w14:paraId="7ED1F9D9" w14:textId="46A12C3C" w:rsidR="00DD3DAC" w:rsidRDefault="00DD3DAC" w:rsidP="00DD3DAC">
      <w:r>
        <w:t>Consideration of anti</w:t>
      </w:r>
      <w:r w:rsidRPr="009F784F">
        <w:t>microbial resistance</w:t>
      </w:r>
      <w:r>
        <w:t xml:space="preserve"> (AMR)</w:t>
      </w:r>
      <w:r w:rsidRPr="009F784F">
        <w:t xml:space="preserve"> implications for variations req</w:t>
      </w:r>
      <w:r>
        <w:t xml:space="preserve">uested for antifungal and </w:t>
      </w:r>
      <w:r w:rsidR="00634016">
        <w:t xml:space="preserve">an </w:t>
      </w:r>
      <w:r w:rsidR="007C7AC0">
        <w:t>antibacterial</w:t>
      </w:r>
      <w:r w:rsidR="007C7AC0" w:rsidRPr="009F784F">
        <w:t xml:space="preserve"> </w:t>
      </w:r>
      <w:r w:rsidRPr="009F784F">
        <w:t xml:space="preserve">chemical </w:t>
      </w:r>
      <w:r>
        <w:t>was</w:t>
      </w:r>
      <w:r w:rsidRPr="009F784F">
        <w:t xml:space="preserve"> undertaken on a case-by-case basis</w:t>
      </w:r>
      <w:r>
        <w:t>, taking into account any similarities of structure or function with compounds included in either Australia’s</w:t>
      </w:r>
      <w:r>
        <w:rPr>
          <w:rStyle w:val="FootnoteReference"/>
        </w:rPr>
        <w:footnoteReference w:id="2"/>
      </w:r>
      <w:r>
        <w:t xml:space="preserve"> or the WHO’s</w:t>
      </w:r>
      <w:r>
        <w:rPr>
          <w:rStyle w:val="FootnoteReference"/>
        </w:rPr>
        <w:footnoteReference w:id="3"/>
      </w:r>
      <w:r>
        <w:t xml:space="preserve"> prioritisations of the importance of antimicrobials used in human medicine.</w:t>
      </w:r>
    </w:p>
    <w:p w14:paraId="586AE92D" w14:textId="392C8112" w:rsidR="00DD3DAC" w:rsidRDefault="00DD3DAC" w:rsidP="00DD3DAC"/>
    <w:p w14:paraId="18803A31" w14:textId="77777777" w:rsidR="00DD3DAC" w:rsidRDefault="00DD3DAC" w:rsidP="00DD3DAC">
      <w:r>
        <w:t xml:space="preserve">Two classes of compounds were flagged for further consideration: the </w:t>
      </w:r>
      <w:r w:rsidRPr="0013435A">
        <w:t>veterinary drug flumequine</w:t>
      </w:r>
      <w:r>
        <w:t xml:space="preserve">, and a number of </w:t>
      </w:r>
      <w:r w:rsidRPr="0013435A">
        <w:t>triazole fungicides</w:t>
      </w:r>
      <w:r>
        <w:t xml:space="preserve">: </w:t>
      </w:r>
      <w:r w:rsidRPr="003678F2">
        <w:t>difenoconazole, fenbuconazole, flusilazole, flutriafol, mefentrifluconazole, metconazole, propiconazole and tebuconazole</w:t>
      </w:r>
      <w:r>
        <w:t>.</w:t>
      </w:r>
    </w:p>
    <w:p w14:paraId="0A453149" w14:textId="77777777" w:rsidR="00DD3DAC" w:rsidRDefault="00DD3DAC" w:rsidP="00DD3DAC"/>
    <w:p w14:paraId="1B807BF0" w14:textId="13C7BBC4" w:rsidR="00DD3DAC" w:rsidRDefault="00DD3DAC" w:rsidP="00DD3DAC">
      <w:r>
        <w:t xml:space="preserve">Flumequine </w:t>
      </w:r>
      <w:r w:rsidRPr="0013435A">
        <w:t xml:space="preserve">is a </w:t>
      </w:r>
      <w:r>
        <w:t>second</w:t>
      </w:r>
      <w:r w:rsidRPr="0013435A">
        <w:t>-generation fluoroquinolone antibacterial</w:t>
      </w:r>
      <w:r>
        <w:rPr>
          <w:rStyle w:val="FootnoteReference"/>
        </w:rPr>
        <w:footnoteReference w:id="4"/>
      </w:r>
      <w:r>
        <w:t xml:space="preserve"> which is active against both Gram</w:t>
      </w:r>
      <w:r>
        <w:noBreakHyphen/>
        <w:t>negative and Gram-positive organisms. It inhibits</w:t>
      </w:r>
      <w:r w:rsidRPr="0013435A">
        <w:t xml:space="preserve"> DNA gyrase</w:t>
      </w:r>
      <w:r>
        <w:t xml:space="preserve"> and </w:t>
      </w:r>
      <w:r w:rsidRPr="0013435A">
        <w:t>topoisomerase</w:t>
      </w:r>
      <w:r>
        <w:t xml:space="preserve"> </w:t>
      </w:r>
      <w:r w:rsidRPr="0013435A">
        <w:t xml:space="preserve">enzymes necessary </w:t>
      </w:r>
      <w:r>
        <w:t>for</w:t>
      </w:r>
      <w:r w:rsidRPr="0013435A">
        <w:t xml:space="preserve"> bacterial cell division</w:t>
      </w:r>
      <w:r>
        <w:t xml:space="preserve">. It is no longer in use for treatment of humans, but continues to be used around the world in various </w:t>
      </w:r>
      <w:r w:rsidRPr="00A46BD1">
        <w:t>food-producing animals</w:t>
      </w:r>
      <w:r>
        <w:t>.</w:t>
      </w:r>
      <w:r w:rsidR="00936B9E">
        <w:t xml:space="preserve"> Quinolones</w:t>
      </w:r>
      <w:r w:rsidR="00936B9E" w:rsidRPr="00936B9E">
        <w:t xml:space="preserve"> are included in both </w:t>
      </w:r>
      <w:r w:rsidR="003A4C59">
        <w:t xml:space="preserve">the </w:t>
      </w:r>
      <w:r w:rsidR="00936B9E" w:rsidRPr="00936B9E">
        <w:t>Australian and WHO lists of important antimicrobials used in human medicine</w:t>
      </w:r>
      <w:r w:rsidR="00713408" w:rsidRPr="00713408">
        <w:rPr>
          <w:vertAlign w:val="superscript"/>
        </w:rPr>
        <w:t>1,2</w:t>
      </w:r>
      <w:r w:rsidR="00713408">
        <w:t>.</w:t>
      </w:r>
    </w:p>
    <w:p w14:paraId="2B1F656E" w14:textId="77777777" w:rsidR="00DD3DAC" w:rsidRDefault="00DD3DAC" w:rsidP="00DD3DAC"/>
    <w:p w14:paraId="2FA96630" w14:textId="66871312" w:rsidR="00DD3DAC" w:rsidRDefault="00DD3DAC" w:rsidP="00DD3DAC">
      <w:r w:rsidRPr="00A46BD1">
        <w:t>The APVMA consider</w:t>
      </w:r>
      <w:r>
        <w:t>s</w:t>
      </w:r>
      <w:r w:rsidRPr="00A46BD1">
        <w:t xml:space="preserve"> AMR risks for uses of antimicrobial</w:t>
      </w:r>
      <w:r>
        <w:t>s which are proposed for use on</w:t>
      </w:r>
      <w:r>
        <w:noBreakHyphen/>
      </w:r>
      <w:r w:rsidRPr="00A46BD1">
        <w:t>farm in Australia</w:t>
      </w:r>
      <w:r>
        <w:t>, and includes fluoroquinolones in its list of substances not permitted for use on food-producing animals in Australia</w:t>
      </w:r>
      <w:r>
        <w:rPr>
          <w:rStyle w:val="FootnoteReference"/>
        </w:rPr>
        <w:footnoteReference w:id="5"/>
      </w:r>
      <w:r>
        <w:t>. F</w:t>
      </w:r>
      <w:r w:rsidRPr="001920C1">
        <w:t>lumequine is</w:t>
      </w:r>
      <w:r>
        <w:t>, therefore,</w:t>
      </w:r>
      <w:r w:rsidRPr="001920C1">
        <w:t xml:space="preserve"> not approved by the APVMA for use as a veterinary medicine in any animal species in Australia</w:t>
      </w:r>
      <w:r>
        <w:t>.</w:t>
      </w:r>
      <w:r w:rsidRPr="001920C1">
        <w:t xml:space="preserve"> </w:t>
      </w:r>
      <w:r w:rsidRPr="00A46BD1">
        <w:t>However, the APVMA has advised FSANZ that</w:t>
      </w:r>
      <w:r>
        <w:t xml:space="preserve"> since the </w:t>
      </w:r>
      <w:r w:rsidRPr="00A46BD1">
        <w:t>use</w:t>
      </w:r>
      <w:r>
        <w:t xml:space="preserve"> of flumequine</w:t>
      </w:r>
      <w:r w:rsidRPr="00A46BD1">
        <w:t xml:space="preserve"> in Australia is not proposed</w:t>
      </w:r>
      <w:r>
        <w:t>,</w:t>
      </w:r>
      <w:r w:rsidRPr="00A46BD1">
        <w:t xml:space="preserve"> and as there are Codex MRLs for </w:t>
      </w:r>
      <w:r w:rsidR="00713408">
        <w:t>residues of flumequine</w:t>
      </w:r>
      <w:r w:rsidR="003A36C3">
        <w:t xml:space="preserve"> </w:t>
      </w:r>
      <w:r w:rsidR="00713408">
        <w:t xml:space="preserve">in </w:t>
      </w:r>
      <w:r>
        <w:t>fish species</w:t>
      </w:r>
      <w:r w:rsidRPr="00A46BD1">
        <w:t xml:space="preserve"> </w:t>
      </w:r>
      <w:r>
        <w:t>other than those requested in this Proposal, the APVMA does not have any concerns associated with this harmonisation request and does not object to the proposed MRLs for import purposes.</w:t>
      </w:r>
    </w:p>
    <w:p w14:paraId="10C1FBE8" w14:textId="77777777" w:rsidR="00DD3DAC" w:rsidRDefault="00DD3DAC" w:rsidP="00DD3DAC"/>
    <w:p w14:paraId="7CE9BD28" w14:textId="72E54803" w:rsidR="00DD3DAC" w:rsidRDefault="007C7AC0" w:rsidP="00DD3DAC">
      <w:r>
        <w:t>T</w:t>
      </w:r>
      <w:r w:rsidR="00DD3DAC">
        <w:t>riazole fungicides are considered essential chemicals for fungal disease management in a number of crops, and are widely used in agriculture around the world. Triazoles are also used in the treatment of human mycoses. There is evidence of the emergence of fungicide</w:t>
      </w:r>
      <w:r w:rsidR="00DD3DAC">
        <w:noBreakHyphen/>
      </w:r>
      <w:r w:rsidR="00DD3DAC" w:rsidRPr="00CC24F2">
        <w:t>resistan</w:t>
      </w:r>
      <w:r w:rsidR="00DD3DAC">
        <w:t>t isolates of human pathogens—</w:t>
      </w:r>
      <w:r w:rsidR="00DD3DAC" w:rsidRPr="00CC24F2">
        <w:t xml:space="preserve">such as </w:t>
      </w:r>
      <w:r w:rsidR="00DD3DAC" w:rsidRPr="002653F3">
        <w:rPr>
          <w:i/>
        </w:rPr>
        <w:t>Fusarium</w:t>
      </w:r>
      <w:r w:rsidR="00DD3DAC" w:rsidRPr="00CC24F2">
        <w:t xml:space="preserve"> and </w:t>
      </w:r>
      <w:r w:rsidR="00DD3DAC" w:rsidRPr="002653F3">
        <w:rPr>
          <w:i/>
        </w:rPr>
        <w:t>Aspergillus</w:t>
      </w:r>
      <w:r w:rsidR="00DD3DAC" w:rsidRPr="00CC24F2">
        <w:t xml:space="preserve"> </w:t>
      </w:r>
      <w:r w:rsidR="00DD3DAC">
        <w:t>species—which has been related to</w:t>
      </w:r>
      <w:r w:rsidR="00DD3DAC" w:rsidRPr="00CC24F2">
        <w:t xml:space="preserve"> exposure to fungicides used in </w:t>
      </w:r>
      <w:r w:rsidR="00DD3DAC">
        <w:t>agriculture</w:t>
      </w:r>
      <w:r w:rsidR="00DD3DAC">
        <w:rPr>
          <w:rStyle w:val="FootnoteReference"/>
        </w:rPr>
        <w:footnoteReference w:id="6"/>
      </w:r>
      <w:r>
        <w:t>.</w:t>
      </w:r>
      <w:r w:rsidR="00DD3DAC">
        <w:t xml:space="preserve"> However, triazoles are not included in either the Australian or WHO lists of important antimicrobials used in human medicine.</w:t>
      </w:r>
    </w:p>
    <w:p w14:paraId="2E0AAB7B" w14:textId="5850137F" w:rsidR="00DD3DAC" w:rsidRDefault="00DD3DAC" w:rsidP="00DD3DAC"/>
    <w:p w14:paraId="4911C5C5" w14:textId="4FE034BB" w:rsidR="00FA74A0" w:rsidRPr="00F40E9D" w:rsidRDefault="00936B9E" w:rsidP="00690206">
      <w:r>
        <w:t xml:space="preserve">FSANZ concludes that residues of flumequine and the eight triazole fungicides arising from the variations requested do not represent an unacceptable risk to public health and safety from antimicrobial resistance / cross-resistance to important antimicrobials used in human medicine. However, this assessment does not take into account the broader ‘One Health’ issues associated with antimicrobial resistance. This is particularly of relevance to flumequine, a member of the class of quinolone antibiotics. Quinolones are considered to be of high importance for use in human health in Australia, and of </w:t>
      </w:r>
      <w:r w:rsidR="003A4C59">
        <w:t xml:space="preserve">the </w:t>
      </w:r>
      <w:r>
        <w:t>highest priority in the WHO list of c</w:t>
      </w:r>
      <w:r w:rsidRPr="00936B9E">
        <w:t>ritically important antimicrobials for human medicine</w:t>
      </w:r>
      <w:r>
        <w:t>.</w:t>
      </w:r>
    </w:p>
    <w:p w14:paraId="027CCA0E" w14:textId="77777777" w:rsidR="00FA74A0" w:rsidRPr="00E203C2" w:rsidRDefault="00FA74A0" w:rsidP="00690206"/>
    <w:sectPr w:rsidR="00FA74A0" w:rsidRPr="00E203C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78216" w14:textId="77777777" w:rsidR="00C80A69" w:rsidRDefault="00C80A69">
      <w:r>
        <w:separator/>
      </w:r>
    </w:p>
  </w:endnote>
  <w:endnote w:type="continuationSeparator" w:id="0">
    <w:p w14:paraId="41A29A2D" w14:textId="77777777" w:rsidR="00C80A69" w:rsidRDefault="00C80A69">
      <w:r>
        <w:continuationSeparator/>
      </w:r>
    </w:p>
  </w:endnote>
  <w:endnote w:type="continuationNotice" w:id="1">
    <w:p w14:paraId="525339CD" w14:textId="77777777" w:rsidR="00C80A69" w:rsidRDefault="00C80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34122DF6" w:rsidR="002C013D" w:rsidRDefault="002C013D" w:rsidP="006B67F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2C013D" w:rsidRDefault="002C013D" w:rsidP="00A47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0E5CB491" w:rsidR="002C013D" w:rsidRDefault="002C013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7A8A">
      <w:rPr>
        <w:rStyle w:val="PageNumber"/>
        <w:noProof/>
      </w:rPr>
      <w:t>i</w:t>
    </w:r>
    <w:r>
      <w:rPr>
        <w:rStyle w:val="PageNumber"/>
      </w:rPr>
      <w:fldChar w:fldCharType="end"/>
    </w:r>
  </w:p>
  <w:p w14:paraId="7C4636D5" w14:textId="77777777" w:rsidR="002C013D" w:rsidRDefault="002C013D" w:rsidP="00A4723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CDD93" w14:textId="77777777" w:rsidR="00C80A69" w:rsidRDefault="00C80A69">
      <w:r>
        <w:separator/>
      </w:r>
    </w:p>
  </w:footnote>
  <w:footnote w:type="continuationSeparator" w:id="0">
    <w:p w14:paraId="18AF8CC1" w14:textId="77777777" w:rsidR="00C80A69" w:rsidRDefault="00C80A69">
      <w:r>
        <w:continuationSeparator/>
      </w:r>
    </w:p>
  </w:footnote>
  <w:footnote w:type="continuationNotice" w:id="1">
    <w:p w14:paraId="1AD8B5D1" w14:textId="77777777" w:rsidR="00C80A69" w:rsidRDefault="00C80A69"/>
  </w:footnote>
  <w:footnote w:id="2">
    <w:p w14:paraId="328F764D" w14:textId="77777777" w:rsidR="002C013D" w:rsidRPr="00264F42" w:rsidRDefault="002C013D" w:rsidP="00DD3DAC">
      <w:pPr>
        <w:pStyle w:val="FootnoteText"/>
        <w:rPr>
          <w:lang w:val="en-AU"/>
        </w:rPr>
      </w:pPr>
      <w:r>
        <w:rPr>
          <w:rStyle w:val="FootnoteReference"/>
        </w:rPr>
        <w:footnoteRef/>
      </w:r>
      <w:r>
        <w:t xml:space="preserve"> </w:t>
      </w:r>
      <w:r w:rsidRPr="00264F42">
        <w:rPr>
          <w:i/>
        </w:rPr>
        <w:t>Importance ratings and summary of antibacterial uses in human and animal health in Australia</w:t>
      </w:r>
      <w:r w:rsidRPr="00264F42">
        <w:t>, June 2018, Office of Health Protection, Australian Government Departme</w:t>
      </w:r>
      <w:r>
        <w:t xml:space="preserve">nt of Health, Canberra. </w:t>
      </w:r>
      <w:hyperlink r:id="rId1" w:history="1">
        <w:r w:rsidRPr="006C1A7C">
          <w:rPr>
            <w:rStyle w:val="Hyperlink"/>
          </w:rPr>
          <w:t>www.amr.gov.au/resources/importance-ratings-and-summary-antibacterial-uses-human-and-animal-health-australia</w:t>
        </w:r>
      </w:hyperlink>
      <w:r w:rsidRPr="00264F42">
        <w:t>. Accessed 17 December 2020.</w:t>
      </w:r>
    </w:p>
  </w:footnote>
  <w:footnote w:id="3">
    <w:p w14:paraId="44BA43D6" w14:textId="77777777" w:rsidR="002C013D" w:rsidRPr="0013435A" w:rsidRDefault="002C013D" w:rsidP="00DD3DAC">
      <w:pPr>
        <w:pStyle w:val="FootnoteText"/>
        <w:rPr>
          <w:lang w:val="en-AU"/>
        </w:rPr>
      </w:pPr>
      <w:r>
        <w:rPr>
          <w:rStyle w:val="FootnoteReference"/>
        </w:rPr>
        <w:footnoteRef/>
      </w:r>
      <w:r>
        <w:t xml:space="preserve"> </w:t>
      </w:r>
      <w:r w:rsidRPr="0013435A">
        <w:rPr>
          <w:i/>
        </w:rPr>
        <w:t>Critically important antimicrobials for human medicine</w:t>
      </w:r>
      <w:r w:rsidRPr="0013435A">
        <w:t xml:space="preserve">, 6th revision 2018, World Health Organization, Geneva; </w:t>
      </w:r>
      <w:hyperlink r:id="rId2" w:history="1">
        <w:r w:rsidRPr="006C1A7C">
          <w:rPr>
            <w:rStyle w:val="Hyperlink"/>
          </w:rPr>
          <w:t>www.who.int/foodsafety/publications/antimicrobials-sixth/en/</w:t>
        </w:r>
      </w:hyperlink>
      <w:r w:rsidRPr="0013435A">
        <w:t>. Accessed 17 December 2020.</w:t>
      </w:r>
    </w:p>
  </w:footnote>
  <w:footnote w:id="4">
    <w:p w14:paraId="38C936BE" w14:textId="77777777" w:rsidR="002C013D" w:rsidRPr="004E0B78" w:rsidRDefault="002C013D" w:rsidP="00DD3DAC">
      <w:pPr>
        <w:pStyle w:val="FootnoteText"/>
        <w:rPr>
          <w:lang w:val="en-AU"/>
        </w:rPr>
      </w:pPr>
      <w:r>
        <w:rPr>
          <w:rStyle w:val="FootnoteReference"/>
        </w:rPr>
        <w:footnoteRef/>
      </w:r>
      <w:r>
        <w:t xml:space="preserve"> </w:t>
      </w:r>
      <w:hyperlink r:id="rId3" w:history="1">
        <w:r w:rsidRPr="00664656">
          <w:rPr>
            <w:rStyle w:val="Hyperlink"/>
          </w:rPr>
          <w:t>www.ema.europa.eu/en/documents/mrl-report/flumequine-summary-report-2-committee-veterinary-medicinal-products_en.pdf</w:t>
        </w:r>
      </w:hyperlink>
    </w:p>
  </w:footnote>
  <w:footnote w:id="5">
    <w:p w14:paraId="1A45F43D" w14:textId="77777777" w:rsidR="002C013D" w:rsidRPr="002653F3" w:rsidRDefault="002C013D" w:rsidP="00DD3DAC">
      <w:pPr>
        <w:pStyle w:val="FootnoteText"/>
        <w:rPr>
          <w:lang w:val="en-AU"/>
        </w:rPr>
      </w:pPr>
      <w:r>
        <w:rPr>
          <w:rStyle w:val="FootnoteReference"/>
        </w:rPr>
        <w:footnoteRef/>
      </w:r>
      <w:r>
        <w:t xml:space="preserve"> </w:t>
      </w:r>
      <w:hyperlink r:id="rId4" w:history="1">
        <w:r w:rsidRPr="006C1A7C">
          <w:rPr>
            <w:rStyle w:val="Hyperlink"/>
          </w:rPr>
          <w:t>https://apvma.gov.au/node/11626</w:t>
        </w:r>
      </w:hyperlink>
    </w:p>
  </w:footnote>
  <w:footnote w:id="6">
    <w:p w14:paraId="08B77A24" w14:textId="77777777" w:rsidR="002C013D" w:rsidRPr="00CC24F2" w:rsidRDefault="002C013D" w:rsidP="00DD3DAC">
      <w:pPr>
        <w:pStyle w:val="FootnoteText"/>
        <w:rPr>
          <w:lang w:val="en-AU"/>
        </w:rPr>
      </w:pPr>
      <w:r>
        <w:rPr>
          <w:rStyle w:val="FootnoteReference"/>
        </w:rPr>
        <w:footnoteRef/>
      </w:r>
      <w:r>
        <w:t xml:space="preserve"> </w:t>
      </w:r>
      <w:r w:rsidRPr="00CC24F2">
        <w:t>Ribas E Ribas AD, Spolti P, Del Ponte EM, Donato KZ, Schrekker H, Fuentefria AM. Is the emergence of fungal resistance to medical triazoles related to their use in the agroecosystems? A mini review. Braz J Microbiol. 2016;47(4):793-799. doi:10.1016/j.bjm.2016.06.006</w:t>
      </w:r>
      <w:r>
        <w:t xml:space="preserve">. </w:t>
      </w:r>
      <w:hyperlink r:id="rId5" w:history="1">
        <w:r w:rsidRPr="006C1A7C">
          <w:rPr>
            <w:rStyle w:val="Hyperlink"/>
          </w:rPr>
          <w:t>www.ncbi.nlm.nih.gov/pmc/articles/PMC5052333/</w:t>
        </w:r>
      </w:hyperlink>
      <w:r>
        <w:t xml:space="preserve">. </w:t>
      </w:r>
      <w:r w:rsidRPr="0013435A">
        <w:t>Accessed 17 December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47DEE955" w:rsidR="002C013D" w:rsidRDefault="002C013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75D1"/>
    <w:multiLevelType w:val="multilevel"/>
    <w:tmpl w:val="08283DA2"/>
    <w:lvl w:ilvl="0">
      <w:start w:val="1"/>
      <w:numFmt w:val="decimal"/>
      <w:lvlText w:val="%1."/>
      <w:lvlJc w:val="left"/>
      <w:pPr>
        <w:ind w:left="786" w:hanging="360"/>
      </w:pPr>
    </w:lvl>
    <w:lvl w:ilvl="1">
      <w:start w:val="1"/>
      <w:numFmt w:val="decimal"/>
      <w:isLgl/>
      <w:lvlText w:val="%1.%2"/>
      <w:lvlJc w:val="left"/>
      <w:pPr>
        <w:ind w:left="1139" w:hanging="855"/>
      </w:pPr>
      <w:rPr>
        <w:rFonts w:hint="default"/>
      </w:rPr>
    </w:lvl>
    <w:lvl w:ilvl="2">
      <w:start w:val="1"/>
      <w:numFmt w:val="decimal"/>
      <w:isLgl/>
      <w:lvlText w:val="%1.%2.%3"/>
      <w:lvlJc w:val="left"/>
      <w:pPr>
        <w:ind w:left="3331" w:hanging="855"/>
      </w:pPr>
      <w:rPr>
        <w:rFonts w:hint="default"/>
      </w:rPr>
    </w:lvl>
    <w:lvl w:ilvl="3">
      <w:start w:val="1"/>
      <w:numFmt w:val="decimal"/>
      <w:isLgl/>
      <w:lvlText w:val="%1.%2.%3.%4"/>
      <w:lvlJc w:val="left"/>
      <w:pPr>
        <w:ind w:left="4389" w:hanging="855"/>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58068C1"/>
    <w:multiLevelType w:val="hybridMultilevel"/>
    <w:tmpl w:val="10EEE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35FF3"/>
    <w:rsid w:val="000400CB"/>
    <w:rsid w:val="00051021"/>
    <w:rsid w:val="00051ED9"/>
    <w:rsid w:val="00057181"/>
    <w:rsid w:val="0006473A"/>
    <w:rsid w:val="00064B2D"/>
    <w:rsid w:val="00065F1F"/>
    <w:rsid w:val="00076D33"/>
    <w:rsid w:val="00092CDA"/>
    <w:rsid w:val="000A27E9"/>
    <w:rsid w:val="000A3D8B"/>
    <w:rsid w:val="000A5DF8"/>
    <w:rsid w:val="000B6AF2"/>
    <w:rsid w:val="000C141E"/>
    <w:rsid w:val="000D6FD4"/>
    <w:rsid w:val="000E0AE4"/>
    <w:rsid w:val="000E3DBC"/>
    <w:rsid w:val="00113CE3"/>
    <w:rsid w:val="00117522"/>
    <w:rsid w:val="001275EC"/>
    <w:rsid w:val="00133E33"/>
    <w:rsid w:val="001542D8"/>
    <w:rsid w:val="00180C41"/>
    <w:rsid w:val="00182C4C"/>
    <w:rsid w:val="00197104"/>
    <w:rsid w:val="00197D8D"/>
    <w:rsid w:val="001A1A75"/>
    <w:rsid w:val="001A7E9A"/>
    <w:rsid w:val="001C27A3"/>
    <w:rsid w:val="001C5295"/>
    <w:rsid w:val="001E09FA"/>
    <w:rsid w:val="00203540"/>
    <w:rsid w:val="0021612B"/>
    <w:rsid w:val="0022083A"/>
    <w:rsid w:val="00221D07"/>
    <w:rsid w:val="00227E4A"/>
    <w:rsid w:val="0024582E"/>
    <w:rsid w:val="00245C56"/>
    <w:rsid w:val="002547EF"/>
    <w:rsid w:val="00256D65"/>
    <w:rsid w:val="00271F00"/>
    <w:rsid w:val="00273A80"/>
    <w:rsid w:val="0029204E"/>
    <w:rsid w:val="0029631C"/>
    <w:rsid w:val="002A0194"/>
    <w:rsid w:val="002A3314"/>
    <w:rsid w:val="002A5F8B"/>
    <w:rsid w:val="002A7F6C"/>
    <w:rsid w:val="002C013D"/>
    <w:rsid w:val="002C690F"/>
    <w:rsid w:val="002D6809"/>
    <w:rsid w:val="002F6488"/>
    <w:rsid w:val="00320839"/>
    <w:rsid w:val="003213F9"/>
    <w:rsid w:val="00323DBF"/>
    <w:rsid w:val="00326D85"/>
    <w:rsid w:val="003309A8"/>
    <w:rsid w:val="00332B12"/>
    <w:rsid w:val="00351B07"/>
    <w:rsid w:val="00352CF2"/>
    <w:rsid w:val="0036236F"/>
    <w:rsid w:val="00364841"/>
    <w:rsid w:val="00371B29"/>
    <w:rsid w:val="0037656B"/>
    <w:rsid w:val="00391769"/>
    <w:rsid w:val="003953E1"/>
    <w:rsid w:val="003956B3"/>
    <w:rsid w:val="00396E67"/>
    <w:rsid w:val="003A36C3"/>
    <w:rsid w:val="003A4C59"/>
    <w:rsid w:val="003A68BE"/>
    <w:rsid w:val="003B1805"/>
    <w:rsid w:val="003B3C9D"/>
    <w:rsid w:val="003B78E0"/>
    <w:rsid w:val="003C4969"/>
    <w:rsid w:val="003E1B53"/>
    <w:rsid w:val="003E41D5"/>
    <w:rsid w:val="003E46BA"/>
    <w:rsid w:val="003E7D22"/>
    <w:rsid w:val="003F74C1"/>
    <w:rsid w:val="00405B1A"/>
    <w:rsid w:val="00407A8A"/>
    <w:rsid w:val="00410C76"/>
    <w:rsid w:val="00411907"/>
    <w:rsid w:val="00413CA8"/>
    <w:rsid w:val="00417EE3"/>
    <w:rsid w:val="004207EB"/>
    <w:rsid w:val="00437276"/>
    <w:rsid w:val="00456B54"/>
    <w:rsid w:val="00464643"/>
    <w:rsid w:val="00486793"/>
    <w:rsid w:val="004A2037"/>
    <w:rsid w:val="004C2CE7"/>
    <w:rsid w:val="004F4F98"/>
    <w:rsid w:val="004F69F6"/>
    <w:rsid w:val="004F79AC"/>
    <w:rsid w:val="005017CF"/>
    <w:rsid w:val="005207D8"/>
    <w:rsid w:val="0053464E"/>
    <w:rsid w:val="0054272D"/>
    <w:rsid w:val="0054345B"/>
    <w:rsid w:val="00562917"/>
    <w:rsid w:val="0057615C"/>
    <w:rsid w:val="00586228"/>
    <w:rsid w:val="005A1D97"/>
    <w:rsid w:val="005A58F3"/>
    <w:rsid w:val="005B6AF4"/>
    <w:rsid w:val="005B7A73"/>
    <w:rsid w:val="005C04CB"/>
    <w:rsid w:val="005D090B"/>
    <w:rsid w:val="005D16AD"/>
    <w:rsid w:val="005D72E1"/>
    <w:rsid w:val="005E6E16"/>
    <w:rsid w:val="005F400E"/>
    <w:rsid w:val="005F67E5"/>
    <w:rsid w:val="005F7342"/>
    <w:rsid w:val="00603A08"/>
    <w:rsid w:val="00610A3C"/>
    <w:rsid w:val="00627F48"/>
    <w:rsid w:val="00630C23"/>
    <w:rsid w:val="00634016"/>
    <w:rsid w:val="006460AB"/>
    <w:rsid w:val="00663FCF"/>
    <w:rsid w:val="006652A2"/>
    <w:rsid w:val="00690206"/>
    <w:rsid w:val="006937FF"/>
    <w:rsid w:val="006A48A7"/>
    <w:rsid w:val="006B4BA1"/>
    <w:rsid w:val="006B5EBE"/>
    <w:rsid w:val="006B67F7"/>
    <w:rsid w:val="006C5CF5"/>
    <w:rsid w:val="006F4A82"/>
    <w:rsid w:val="006F7454"/>
    <w:rsid w:val="0070373B"/>
    <w:rsid w:val="007120E6"/>
    <w:rsid w:val="00713408"/>
    <w:rsid w:val="00724FA4"/>
    <w:rsid w:val="00730800"/>
    <w:rsid w:val="007549CC"/>
    <w:rsid w:val="007602AA"/>
    <w:rsid w:val="007652EF"/>
    <w:rsid w:val="00772BDC"/>
    <w:rsid w:val="00780792"/>
    <w:rsid w:val="00796562"/>
    <w:rsid w:val="007A44B4"/>
    <w:rsid w:val="007A7D3D"/>
    <w:rsid w:val="007B225D"/>
    <w:rsid w:val="007C174F"/>
    <w:rsid w:val="007C1C64"/>
    <w:rsid w:val="007C7AC0"/>
    <w:rsid w:val="007D03EA"/>
    <w:rsid w:val="007E365C"/>
    <w:rsid w:val="007E48BC"/>
    <w:rsid w:val="007E79F7"/>
    <w:rsid w:val="007F3630"/>
    <w:rsid w:val="007F612E"/>
    <w:rsid w:val="008052B9"/>
    <w:rsid w:val="00807559"/>
    <w:rsid w:val="008450BC"/>
    <w:rsid w:val="0085334B"/>
    <w:rsid w:val="00870214"/>
    <w:rsid w:val="00885C51"/>
    <w:rsid w:val="00885EB0"/>
    <w:rsid w:val="00891F4B"/>
    <w:rsid w:val="0089264A"/>
    <w:rsid w:val="00896B85"/>
    <w:rsid w:val="008A22BE"/>
    <w:rsid w:val="008C1B36"/>
    <w:rsid w:val="008D06C6"/>
    <w:rsid w:val="008E6250"/>
    <w:rsid w:val="008F6DDA"/>
    <w:rsid w:val="00902AF6"/>
    <w:rsid w:val="00904CE0"/>
    <w:rsid w:val="00920249"/>
    <w:rsid w:val="00924C80"/>
    <w:rsid w:val="00932F14"/>
    <w:rsid w:val="00936B9E"/>
    <w:rsid w:val="0094247F"/>
    <w:rsid w:val="00942D60"/>
    <w:rsid w:val="00943B51"/>
    <w:rsid w:val="0096523B"/>
    <w:rsid w:val="00966EE3"/>
    <w:rsid w:val="00972D06"/>
    <w:rsid w:val="0097418F"/>
    <w:rsid w:val="009808AC"/>
    <w:rsid w:val="009A391C"/>
    <w:rsid w:val="009A50F2"/>
    <w:rsid w:val="009E0A61"/>
    <w:rsid w:val="009E3010"/>
    <w:rsid w:val="009F007E"/>
    <w:rsid w:val="009F7065"/>
    <w:rsid w:val="00A4175D"/>
    <w:rsid w:val="00A4723B"/>
    <w:rsid w:val="00A56DC7"/>
    <w:rsid w:val="00A74FD1"/>
    <w:rsid w:val="00A77BFA"/>
    <w:rsid w:val="00A84A58"/>
    <w:rsid w:val="00A905C3"/>
    <w:rsid w:val="00A9241F"/>
    <w:rsid w:val="00AF06FC"/>
    <w:rsid w:val="00AF3391"/>
    <w:rsid w:val="00AF387F"/>
    <w:rsid w:val="00B00E7F"/>
    <w:rsid w:val="00B12F1E"/>
    <w:rsid w:val="00B173DA"/>
    <w:rsid w:val="00B21DCC"/>
    <w:rsid w:val="00B25F37"/>
    <w:rsid w:val="00B37BF0"/>
    <w:rsid w:val="00B44422"/>
    <w:rsid w:val="00B46EA0"/>
    <w:rsid w:val="00B731D3"/>
    <w:rsid w:val="00B73331"/>
    <w:rsid w:val="00B76683"/>
    <w:rsid w:val="00B839A3"/>
    <w:rsid w:val="00B902BD"/>
    <w:rsid w:val="00B968A6"/>
    <w:rsid w:val="00BA24E2"/>
    <w:rsid w:val="00BD2A39"/>
    <w:rsid w:val="00BD2E80"/>
    <w:rsid w:val="00BE11B8"/>
    <w:rsid w:val="00BF7FF0"/>
    <w:rsid w:val="00C057F4"/>
    <w:rsid w:val="00C12502"/>
    <w:rsid w:val="00C14B9A"/>
    <w:rsid w:val="00C36578"/>
    <w:rsid w:val="00C40AA5"/>
    <w:rsid w:val="00C46F70"/>
    <w:rsid w:val="00C476D0"/>
    <w:rsid w:val="00C61AC1"/>
    <w:rsid w:val="00C80A69"/>
    <w:rsid w:val="00C836E3"/>
    <w:rsid w:val="00C86577"/>
    <w:rsid w:val="00C9237E"/>
    <w:rsid w:val="00C92E07"/>
    <w:rsid w:val="00C96868"/>
    <w:rsid w:val="00CA0416"/>
    <w:rsid w:val="00CA2C67"/>
    <w:rsid w:val="00CA641D"/>
    <w:rsid w:val="00CC560B"/>
    <w:rsid w:val="00CC75E2"/>
    <w:rsid w:val="00CD1EA0"/>
    <w:rsid w:val="00CD46EB"/>
    <w:rsid w:val="00CD7EBF"/>
    <w:rsid w:val="00D056F1"/>
    <w:rsid w:val="00D11171"/>
    <w:rsid w:val="00D22F3C"/>
    <w:rsid w:val="00D23DB6"/>
    <w:rsid w:val="00D43FE6"/>
    <w:rsid w:val="00D51A95"/>
    <w:rsid w:val="00D60568"/>
    <w:rsid w:val="00D60EAD"/>
    <w:rsid w:val="00D70C7A"/>
    <w:rsid w:val="00D81D38"/>
    <w:rsid w:val="00D9620E"/>
    <w:rsid w:val="00DA10A8"/>
    <w:rsid w:val="00DB0225"/>
    <w:rsid w:val="00DB1E08"/>
    <w:rsid w:val="00DB2973"/>
    <w:rsid w:val="00DC1B56"/>
    <w:rsid w:val="00DC2129"/>
    <w:rsid w:val="00DC6570"/>
    <w:rsid w:val="00DD3C5E"/>
    <w:rsid w:val="00DD3DAC"/>
    <w:rsid w:val="00DE71BA"/>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715D"/>
    <w:rsid w:val="00F40E9D"/>
    <w:rsid w:val="00F420C8"/>
    <w:rsid w:val="00F42A4C"/>
    <w:rsid w:val="00F43FFA"/>
    <w:rsid w:val="00F5497C"/>
    <w:rsid w:val="00F604DE"/>
    <w:rsid w:val="00F9370E"/>
    <w:rsid w:val="00FA01B2"/>
    <w:rsid w:val="00FA74A0"/>
    <w:rsid w:val="00FB7512"/>
    <w:rsid w:val="00FC0C84"/>
    <w:rsid w:val="00FC1CCE"/>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2E9F72"/>
  <w15:docId w15:val="{BB6E5CE7-A125-44BE-A5E0-CDF2FC62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
    <w:basedOn w:val="DefaultParagraphFont"/>
    <w:link w:val="FootnoteText"/>
    <w:uiPriority w:val="5"/>
    <w:rsid w:val="00DD3DAC"/>
    <w:rPr>
      <w:rFonts w:ascii="Arial" w:hAnsi="Arial"/>
      <w:lang w:eastAsia="en-US" w:bidi="en-US"/>
    </w:rPr>
  </w:style>
  <w:style w:type="paragraph" w:styleId="ListParagraph">
    <w:name w:val="List Paragraph"/>
    <w:basedOn w:val="Normal"/>
    <w:uiPriority w:val="34"/>
    <w:rsid w:val="00DD3DAC"/>
    <w:pPr>
      <w:ind w:left="720"/>
      <w:contextualSpacing/>
    </w:pPr>
  </w:style>
  <w:style w:type="paragraph" w:styleId="CommentSubject">
    <w:name w:val="annotation subject"/>
    <w:basedOn w:val="CommentText"/>
    <w:next w:val="CommentText"/>
    <w:link w:val="CommentSubjectChar"/>
    <w:semiHidden/>
    <w:unhideWhenUsed/>
    <w:rsid w:val="00C9237E"/>
    <w:rPr>
      <w:b/>
      <w:bCs/>
    </w:rPr>
  </w:style>
  <w:style w:type="character" w:customStyle="1" w:styleId="CommentSubjectChar">
    <w:name w:val="Comment Subject Char"/>
    <w:basedOn w:val="CommentTextChar"/>
    <w:link w:val="CommentSubject"/>
    <w:semiHidden/>
    <w:rsid w:val="00C9237E"/>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ma.europa.eu/en/documents/mrl-report/flumequine-summary-report-2-committee-veterinary-medicinal-products_en.pdf" TargetMode="External"/><Relationship Id="rId2" Type="http://schemas.openxmlformats.org/officeDocument/2006/relationships/hyperlink" Target="http://www.who.int/foodsafety/publications/antimicrobials-sixth/en/" TargetMode="External"/><Relationship Id="rId1" Type="http://schemas.openxmlformats.org/officeDocument/2006/relationships/hyperlink" Target="http://www.amr.gov.au/resources/importance-ratings-and-summary-antibacterial-uses-human-and-animal-health-australia" TargetMode="External"/><Relationship Id="rId5" Type="http://schemas.openxmlformats.org/officeDocument/2006/relationships/hyperlink" Target="http://www.ncbi.nlm.nih.gov/pmc/articles/PMC5052333/" TargetMode="External"/><Relationship Id="rId4" Type="http://schemas.openxmlformats.org/officeDocument/2006/relationships/hyperlink" Target="https://apvma.gov.au/node/11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F6957-F4C4-4304-83EF-8887B663FE33}">
  <ds:schemaRefs>
    <ds:schemaRef ds:uri="http://schemas.microsoft.com/sharepoint/v3/contenttype/forms"/>
  </ds:schemaRefs>
</ds:datastoreItem>
</file>

<file path=customXml/itemProps2.xml><?xml version="1.0" encoding="utf-8"?>
<ds:datastoreItem xmlns:ds="http://schemas.openxmlformats.org/officeDocument/2006/customXml" ds:itemID="{7C6B5F74-2237-4BBA-BBF9-13D8829E5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e2aec2-5ad0-4d76-aa7b-990c9a14d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21431-7F55-48A3-8F97-98E557C6B51E}">
  <ds:schemaRefs>
    <ds:schemaRef ds:uri="http://purl.org/dc/term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schemas.microsoft.com/sharepoint/v3"/>
    <ds:schemaRef ds:uri="http://schemas.openxmlformats.org/package/2006/metadata/core-properties"/>
    <ds:schemaRef ds:uri="dae2aec2-5ad0-4d76-aa7b-990c9a14db5a"/>
  </ds:schemaRefs>
</ds:datastoreItem>
</file>

<file path=customXml/itemProps4.xml><?xml version="1.0" encoding="utf-8"?>
<ds:datastoreItem xmlns:ds="http://schemas.openxmlformats.org/officeDocument/2006/customXml" ds:itemID="{55C645B9-98E4-4719-976D-49B0DD2A1A2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24D2806-DE8C-4B06-B17E-83F426C7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647</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4652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lastModifiedBy>Tailee Vecchi</cp:lastModifiedBy>
  <cp:revision>4</cp:revision>
  <cp:lastPrinted>2011-08-22T03:30:00Z</cp:lastPrinted>
  <dcterms:created xsi:type="dcterms:W3CDTF">2021-06-18T01:15:00Z</dcterms:created>
  <dcterms:modified xsi:type="dcterms:W3CDTF">2021-06-18T03:22:00Z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c7435e15-90d8-4490-85c0-44f082cf6a8d</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DisposalClass">
    <vt:lpwstr/>
  </property>
  <property fmtid="{D5CDD505-2E9C-101B-9397-08002B2CF9AE}" pid="6" name="BCS_">
    <vt:lpwstr>710;#Assessment Reports|1003b7da-34c1-48fa-9013-b106a3eb2efd</vt:lpwstr>
  </property>
  <property fmtid="{D5CDD505-2E9C-101B-9397-08002B2CF9AE}" pid="7" name="_dlc_DocIdItemGuid">
    <vt:lpwstr>75689ee3-42cf-40d6-a130-e2eaf7d93854</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y fmtid="{D5CDD505-2E9C-101B-9397-08002B2CF9AE}" pid="11" name="RecordPoint_WorkflowType">
    <vt:lpwstr>ActiveSubmitStub</vt:lpwstr>
  </property>
  <property fmtid="{D5CDD505-2E9C-101B-9397-08002B2CF9AE}" pid="12" name="RecordPoint_ActiveItemListId">
    <vt:lpwstr>{9e5b0f73-7b65-4b7b-959a-60ea32439f7d}</vt:lpwstr>
  </property>
  <property fmtid="{D5CDD505-2E9C-101B-9397-08002B2CF9AE}" pid="13" name="RecordPoint_ActiveItemUniqueId">
    <vt:lpwstr>{0836940e-6a58-4720-9ead-70a6b3431c74}</vt:lpwstr>
  </property>
  <property fmtid="{D5CDD505-2E9C-101B-9397-08002B2CF9AE}" pid="14" name="RecordPoint_ActiveItemWebId">
    <vt:lpwstr>{c7a61bda-dbb8-4c63-984e-2013750812cb}</vt:lpwstr>
  </property>
  <property fmtid="{D5CDD505-2E9C-101B-9397-08002B2CF9AE}" pid="15" name="RecordPoint_ActiveItemSiteId">
    <vt:lpwstr>{dd95a578-5c6a-4f11-92f7-f95884d628d6}</vt:lpwstr>
  </property>
  <property fmtid="{D5CDD505-2E9C-101B-9397-08002B2CF9AE}" pid="16" name="RecordPoint_RecordNumberSubmitted">
    <vt:lpwstr>R0000140188</vt:lpwstr>
  </property>
  <property fmtid="{D5CDD505-2E9C-101B-9397-08002B2CF9AE}" pid="17" name="RecordPoint_SubmissionCompleted">
    <vt:lpwstr>2021-02-01T11:55:18.1580704+11:00</vt:lpwstr>
  </property>
</Properties>
</file>